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38</w:t>
      </w:r>
    </w:p>
    <w:p>
      <w:r>
        <w:t>Bundesgericht (BGE), 1995-02-22, DE</w:t>
      </w:r>
    </w:p>
    <w:p>
      <w:r>
        <w:rPr>
          <w:b/>
        </w:rPr>
        <w:t xml:space="preserve">Quelle: </w:t>
      </w:r>
      <w:r>
        <w:t>https://mcp.opencaselaw.ch/entscheid/bge_121 IV 38</w:t>
      </w:r>
    </w:p>
    <w:p>
      <w:r>
        <w:t>FR: ATF 121 IV 38</w:t>
      </w:r>
    </w:p>
    <w:p>
      <w:r>
        <w:t>IT: DTF 121 IV 38</w:t>
      </w:r>
    </w:p>
    <w:p>
      <w:pPr>
        <w:pStyle w:val="Heading2"/>
      </w:pPr>
      <w:r>
        <w:t>Regeste</w:t>
      </w:r>
    </w:p>
    <w:p>
      <w:r>
        <w:t>Regeste Art. 346 StGB. Bestimmung des Gerichtsstandes bei verschiedenen Ausführungsorten. Mit der Weiterleitung der Strafanzeige durch den nichtzuständigen Kanton an einen möglicherweise zuständigen Kanton ist die Untersuchung noch nicht im Sinne von Art. 346 Abs. 2 StGB "angehoben" (E. 2c). Ist die Untersuchung noch in keinem der Kantone, in denen Ausführungshandlungen erfolgten, angehoben worden, stellt die Anklagekammer auf jene Handlungen ab, mit denen die strafbare Tätigkeit zu Ende geführt wird (E. 2d).</w:t>
      </w:r>
    </w:p>
    <w:p>
      <w:pPr>
        <w:pStyle w:val="Heading2"/>
      </w:pPr>
      <w:r>
        <w:t>Erwägungen</w:t>
      </w:r>
    </w:p>
    <w:p>
      <w:r>
        <w:rPr>
          <w:b/>
        </w:rPr>
        <w:t>E. 2</w:t>
      </w:r>
    </w:p>
    <w:p>
      <w:r>
        <w:t>a) Die Parteien gehen übereinstimmend davon aus, dass den Beschuldigten im Zusammenhang mit dem erwähnten Darlehensvertrag ein Betrug zur Last zu legen ist. Da dies zumindest in Frage kommt, ist für die Beurteilung des vorliegenden Falles davon auszugehen. b) Die Beschuldigten haben die Handlungen, in welchen die Parteien einen Betrug erblicken, teils in Basel (Vertragsverhandlungen), teils in St. Gallen (Unterzeichnung, Entgegennahme des Checks) ausgeführt. Gemäss Art. 346 Abs. 2 StGB sind in einem solchen Fall die Behörden des Ortes zuständig, wo die Untersuchung zuerst angehoben wurde. Wo die wichtigeren der verschiedenen Ausführungshandlungen vorgenommen worden sind, ist grundsätzlich unerheblich; das Argument der Gesuchsgegnerin, im Kanton Basel-Stadt seien die wesentlichen Täuschungshandlungen ausgeführt worden und die Unterzeichnung des Darlehensvertrages durch den Geschädigten BGE 121 IV 38 S. 40 erfolgt, ist deshalb unbehelflich (vgl. BGE 71 IV 55 E. 2; SCHWERI, Interkantonale Gerichtsstandsbestimmung in Strafsachen, Bern 1987, N. 82). c) Ein nichtzuständiger Kanton - im vorliegenden Fall der Kanton Zug - kann indessen nicht dadurch, dass er die Strafanzeige an einen der möglicherweise zuständigen Kantone weiterleitet, verbindlich dessen Gerichtsstand bestimmen (SCHWERI, a.a.O., N. 142). Wird die Strafanzeige in einem unzuständigen Kanton eingereicht, so versagt der Gerichtsstand der Prävention, da damit die allenfalls zuständigen Kantone, wenn sie sich wie hier auf die Abklärung der Frage des Gerichtsstandes beschränken, die Untersuchung nicht im Sinne von Art. 346 Abs. 2 StGB "angehoben" haben. d) In solchen Fällen stellt die Anklagekammer auf jene Ausführungshandlungen ab, mit denen in aller Regel die strafbare Tätigkeit zu Ende geführt wird, bzw. auf die letzte Ausführungshandlung, die nach dem Dafürhalten des Täters zum Eintritt des Erfolges führen sollte. Da seitens der Beschuldigten nach der Unterzeichnung des Darlehensvertrages durch sie in St. Gallen keine weiteren Vorkehren erforderlich waren, um die Auszahlung des Darlehens zu erlangen, war die Ausführung der Tat mit diesem Schritt für die Beschuldigten beendet; im übrigen wurde der allfällige Betrug auch im Kanton St. Gallen vollendet, indem die Beschuldigten dort den Check entgegennahmen (vgl. BGE 115 IV 270 E. 2c in fine). Entgegen der Auffassung der Gesuchsgegnerin war der Betrug mit der Unterzeichnung des Vertrages durch den Geschädigten noch nicht vollendet, denn dieser ordnete die Auszahlung erst an, nachdem ihm der von den Beschuldigten unterzeichnete Darlehensvertrag wiederum per Fax übermittelt worden war. Auch der Erfolg, auf den die Anklagekammer subsidiär abstellt, sofern der Ausführungsort als gerichtsstandsbegründendes Merkmal versagt (vgl. SCHWERI, a.a.O., N. 95), trat somit im Kanton St. Gallen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